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5C" w:rsidRPr="009D0A9F" w:rsidRDefault="00881B5C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売上高比較表【５号認定要件　ロ-</w:t>
      </w:r>
      <w:r w:rsidR="009D0A9F"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Pr="009D0A9F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1E1C30">
        <w:rPr>
          <w:rFonts w:ascii="ＭＳ ゴシック" w:eastAsia="ＭＳ ゴシック" w:hAnsi="ＭＳ ゴシック" w:hint="eastAsia"/>
          <w:sz w:val="21"/>
          <w:szCs w:val="21"/>
        </w:rPr>
        <w:t>（1/2）</w:t>
      </w:r>
    </w:p>
    <w:p w:rsidR="00881B5C" w:rsidRPr="009D0A9F" w:rsidRDefault="00881B5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b/>
          <w:sz w:val="21"/>
          <w:szCs w:val="21"/>
        </w:rPr>
        <w:t>指定業種記入欄</w:t>
      </w:r>
      <w:r w:rsidR="009D0A9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当社の主たる事業が属する業種は</w:t>
      </w:r>
      <w:r w:rsidR="009D0A9F" w:rsidRPr="009D0A9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</w:t>
      </w:r>
      <w:r w:rsidR="009D0A9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</w:t>
      </w:r>
      <w:r w:rsidR="009D0A9F" w:rsidRPr="009D0A9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　　</w:t>
      </w:r>
      <w:r w:rsidR="009D0A9F">
        <w:rPr>
          <w:rFonts w:ascii="ＭＳ ゴシック" w:eastAsia="ＭＳ ゴシック" w:hAnsi="ＭＳ ゴシック" w:hint="eastAsia"/>
          <w:b/>
          <w:sz w:val="21"/>
          <w:szCs w:val="21"/>
        </w:rPr>
        <w:t>（※1）</w:t>
      </w:r>
      <w:r w:rsidR="001E1C3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</w:t>
      </w:r>
    </w:p>
    <w:tbl>
      <w:tblPr>
        <w:tblStyle w:val="a3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831"/>
        <w:gridCol w:w="2403"/>
      </w:tblGrid>
      <w:tr w:rsidR="00881B5C" w:rsidRPr="009D0A9F" w:rsidTr="00881B5C">
        <w:tc>
          <w:tcPr>
            <w:tcW w:w="3394" w:type="dxa"/>
          </w:tcPr>
          <w:p w:rsidR="00881B5C" w:rsidRPr="009D0A9F" w:rsidRDefault="00881B5C" w:rsidP="00385173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日本産業分類</w:t>
            </w:r>
          </w:p>
          <w:p w:rsidR="00881B5C" w:rsidRPr="009D0A9F" w:rsidRDefault="00881B5C" w:rsidP="00385173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細分類番号および細分類業種名</w:t>
            </w:r>
          </w:p>
        </w:tc>
        <w:tc>
          <w:tcPr>
            <w:tcW w:w="3831" w:type="dxa"/>
            <w:vAlign w:val="center"/>
          </w:tcPr>
          <w:p w:rsidR="00881B5C" w:rsidRPr="009D0A9F" w:rsidRDefault="00881B5C" w:rsidP="003851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最近1年間の売上高</w:t>
            </w:r>
          </w:p>
        </w:tc>
        <w:tc>
          <w:tcPr>
            <w:tcW w:w="2403" w:type="dxa"/>
            <w:vAlign w:val="center"/>
          </w:tcPr>
          <w:p w:rsidR="00881B5C" w:rsidRPr="009D0A9F" w:rsidRDefault="00881B5C" w:rsidP="003851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構成比</w:t>
            </w:r>
          </w:p>
        </w:tc>
      </w:tr>
      <w:tr w:rsidR="00881B5C" w:rsidRPr="009D0A9F" w:rsidTr="00881B5C">
        <w:tc>
          <w:tcPr>
            <w:tcW w:w="3394" w:type="dxa"/>
          </w:tcPr>
          <w:p w:rsidR="00881B5C" w:rsidRPr="009D0A9F" w:rsidRDefault="00881B5C" w:rsidP="00881B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31" w:type="dxa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403" w:type="dxa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881B5C" w:rsidRPr="009D0A9F" w:rsidTr="00881B5C">
        <w:tc>
          <w:tcPr>
            <w:tcW w:w="3394" w:type="dxa"/>
          </w:tcPr>
          <w:p w:rsidR="00881B5C" w:rsidRPr="009D0A9F" w:rsidRDefault="00881B5C" w:rsidP="00881B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31" w:type="dxa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403" w:type="dxa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881B5C" w:rsidRPr="009D0A9F" w:rsidTr="00881B5C">
        <w:tc>
          <w:tcPr>
            <w:tcW w:w="3394" w:type="dxa"/>
            <w:tcBorders>
              <w:bottom w:val="single" w:sz="4" w:space="0" w:color="auto"/>
            </w:tcBorders>
          </w:tcPr>
          <w:p w:rsidR="00881B5C" w:rsidRPr="009D0A9F" w:rsidRDefault="00881B5C" w:rsidP="00881B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881B5C" w:rsidRPr="009D0A9F" w:rsidTr="00881B5C">
        <w:tc>
          <w:tcPr>
            <w:tcW w:w="3394" w:type="dxa"/>
            <w:tcBorders>
              <w:bottom w:val="double" w:sz="4" w:space="0" w:color="auto"/>
            </w:tcBorders>
          </w:tcPr>
          <w:p w:rsidR="00881B5C" w:rsidRPr="009D0A9F" w:rsidRDefault="00881B5C" w:rsidP="00881B5C">
            <w:pPr>
              <w:rPr>
                <w:rFonts w:ascii="ＭＳ ゴシック" w:eastAsia="ＭＳ ゴシック" w:hAnsi="ＭＳ ゴシック"/>
                <w:sz w:val="21"/>
                <w:szCs w:val="21"/>
                <w:u w:val="double"/>
              </w:rPr>
            </w:pPr>
          </w:p>
        </w:tc>
        <w:tc>
          <w:tcPr>
            <w:tcW w:w="3831" w:type="dxa"/>
            <w:tcBorders>
              <w:bottom w:val="doub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881B5C" w:rsidRPr="009D0A9F" w:rsidTr="00881B5C">
        <w:tc>
          <w:tcPr>
            <w:tcW w:w="3394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Pr="009D0A9F" w:rsidRDefault="00881B5C" w:rsidP="00881B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全体の売上高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100%</w:t>
            </w:r>
          </w:p>
        </w:tc>
      </w:tr>
    </w:tbl>
    <w:p w:rsidR="00960167" w:rsidRPr="009D0A9F" w:rsidRDefault="00881B5C" w:rsidP="009D0A9F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※1：</w:t>
      </w:r>
      <w:r w:rsidR="009D0A9F">
        <w:rPr>
          <w:rFonts w:ascii="ＭＳ ゴシック" w:eastAsia="ＭＳ ゴシック" w:hAnsi="ＭＳ ゴシック" w:hint="eastAsia"/>
          <w:sz w:val="21"/>
          <w:szCs w:val="21"/>
        </w:rPr>
        <w:t>最近1年間の売上高が最大の業種名（主たる業種）を記載。主たる業種は指定業種であることが必要。</w:t>
      </w:r>
      <w:r w:rsidR="009D0A9F" w:rsidRPr="009D0A9F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:rsidR="00881B5C" w:rsidRPr="009D0A9F" w:rsidRDefault="00881B5C" w:rsidP="009D0A9F">
      <w:pPr>
        <w:spacing w:beforeLines="50" w:before="180"/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（1）</w:t>
      </w:r>
      <w:r w:rsidR="009D0A9F">
        <w:rPr>
          <w:rFonts w:ascii="ＭＳ ゴシック" w:eastAsia="ＭＳ ゴシック" w:hAnsi="ＭＳ ゴシック" w:hint="eastAsia"/>
          <w:sz w:val="21"/>
          <w:szCs w:val="21"/>
        </w:rPr>
        <w:t>主たる業種及び企業全体それぞれに係る</w:t>
      </w:r>
      <w:r w:rsidRPr="009D0A9F">
        <w:rPr>
          <w:rFonts w:ascii="ＭＳ ゴシック" w:eastAsia="ＭＳ ゴシック" w:hAnsi="ＭＳ ゴシック" w:hint="eastAsia"/>
          <w:sz w:val="21"/>
          <w:szCs w:val="21"/>
        </w:rPr>
        <w:t>原油等の仕入れ単価の上昇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881B5C" w:rsidRPr="009D0A9F" w:rsidTr="00CD2891">
        <w:tc>
          <w:tcPr>
            <w:tcW w:w="1696" w:type="dxa"/>
          </w:tcPr>
          <w:p w:rsidR="00881B5C" w:rsidRPr="009D0A9F" w:rsidRDefault="00881B5C" w:rsidP="00881B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:rsidR="00881B5C" w:rsidRPr="009D0A9F" w:rsidRDefault="00881B5C" w:rsidP="009D0A9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原油等の最近１か月の平均仕入単価</w:t>
            </w:r>
            <w:r w:rsidR="00CD2891" w:rsidRPr="009D0A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【Ｅ】</w:t>
            </w:r>
          </w:p>
        </w:tc>
        <w:tc>
          <w:tcPr>
            <w:tcW w:w="2693" w:type="dxa"/>
          </w:tcPr>
          <w:p w:rsidR="00881B5C" w:rsidRPr="009D0A9F" w:rsidRDefault="00881B5C" w:rsidP="009D0A9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原油等の前年同月の平均仕入単価</w:t>
            </w:r>
            <w:r w:rsidR="00CD2891" w:rsidRPr="009D0A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【e】</w:t>
            </w:r>
          </w:p>
        </w:tc>
        <w:tc>
          <w:tcPr>
            <w:tcW w:w="2687" w:type="dxa"/>
            <w:tcBorders>
              <w:bottom w:val="single" w:sz="12" w:space="0" w:color="auto"/>
            </w:tcBorders>
          </w:tcPr>
          <w:p w:rsidR="00881B5C" w:rsidRPr="009D0A9F" w:rsidRDefault="00881B5C" w:rsidP="009D0A9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原油等の仕入単価の上昇率（E/e×100-100）</w:t>
            </w:r>
          </w:p>
        </w:tc>
      </w:tr>
      <w:tr w:rsidR="00881B5C" w:rsidRPr="009D0A9F" w:rsidTr="00385173">
        <w:trPr>
          <w:trHeight w:val="155"/>
        </w:trPr>
        <w:tc>
          <w:tcPr>
            <w:tcW w:w="1696" w:type="dxa"/>
            <w:vAlign w:val="center"/>
          </w:tcPr>
          <w:p w:rsidR="00881B5C" w:rsidRPr="009D0A9F" w:rsidRDefault="00385173" w:rsidP="00881B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主たる業種</w:t>
            </w:r>
          </w:p>
        </w:tc>
        <w:tc>
          <w:tcPr>
            <w:tcW w:w="2552" w:type="dxa"/>
            <w:vAlign w:val="center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81B5C" w:rsidRPr="009D0A9F" w:rsidRDefault="00881B5C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B5C" w:rsidRPr="009D0A9F" w:rsidRDefault="00CD2891" w:rsidP="00881B5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385173" w:rsidRPr="009D0A9F" w:rsidTr="00385173">
        <w:trPr>
          <w:trHeight w:val="189"/>
        </w:trPr>
        <w:tc>
          <w:tcPr>
            <w:tcW w:w="1696" w:type="dxa"/>
            <w:vAlign w:val="center"/>
          </w:tcPr>
          <w:p w:rsidR="00385173" w:rsidRDefault="00385173" w:rsidP="003851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全体</w:t>
            </w:r>
          </w:p>
        </w:tc>
        <w:tc>
          <w:tcPr>
            <w:tcW w:w="2552" w:type="dxa"/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</w:tbl>
    <w:p w:rsidR="001E1C30" w:rsidRDefault="001E1C30" w:rsidP="00CD2891">
      <w:pPr>
        <w:rPr>
          <w:rFonts w:ascii="ＭＳ ゴシック" w:eastAsia="ＭＳ ゴシック" w:hAnsi="ＭＳ ゴシック"/>
          <w:sz w:val="21"/>
          <w:szCs w:val="21"/>
        </w:rPr>
      </w:pPr>
    </w:p>
    <w:p w:rsidR="00CD2891" w:rsidRPr="009D0A9F" w:rsidRDefault="00CD2891" w:rsidP="00CD2891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（2）</w:t>
      </w:r>
      <w:r w:rsidR="00385173">
        <w:rPr>
          <w:rFonts w:ascii="ＭＳ ゴシック" w:eastAsia="ＭＳ ゴシック" w:hAnsi="ＭＳ ゴシック" w:hint="eastAsia"/>
          <w:sz w:val="21"/>
          <w:szCs w:val="21"/>
        </w:rPr>
        <w:t>主たる業種及び企業全体それぞれの</w:t>
      </w:r>
      <w:r w:rsidRPr="009D0A9F">
        <w:rPr>
          <w:rFonts w:ascii="ＭＳ ゴシック" w:eastAsia="ＭＳ ゴシック" w:hAnsi="ＭＳ ゴシック" w:hint="eastAsia"/>
          <w:sz w:val="21"/>
          <w:szCs w:val="21"/>
        </w:rPr>
        <w:t>売上げ原価に占める原油等の仕入価格の割合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CD2891" w:rsidRPr="009D0A9F" w:rsidTr="00385173">
        <w:tc>
          <w:tcPr>
            <w:tcW w:w="1696" w:type="dxa"/>
          </w:tcPr>
          <w:p w:rsidR="00CD2891" w:rsidRPr="009D0A9F" w:rsidRDefault="00CD2891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D2891" w:rsidRPr="00385173" w:rsidRDefault="00CD2891" w:rsidP="0038517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8517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最新の売上原価</w:t>
            </w:r>
            <w:r w:rsidRPr="0038517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【Ｃ】</w:t>
            </w:r>
          </w:p>
        </w:tc>
        <w:tc>
          <w:tcPr>
            <w:tcW w:w="2693" w:type="dxa"/>
            <w:vAlign w:val="center"/>
          </w:tcPr>
          <w:p w:rsidR="00CD2891" w:rsidRPr="00385173" w:rsidRDefault="00CD2891" w:rsidP="0038517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8517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最新の売上原価に対応する原油等の仕入価格</w:t>
            </w:r>
            <w:r w:rsidRPr="0038517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【Ｓ】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:rsidR="00CD2891" w:rsidRPr="00385173" w:rsidRDefault="00CD2891" w:rsidP="0038517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8517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売上原価に占める原油等の仕入価格の割合（S/</w:t>
            </w:r>
            <w:r w:rsidRPr="00385173">
              <w:rPr>
                <w:rFonts w:ascii="ＭＳ ゴシック" w:eastAsia="ＭＳ ゴシック" w:hAnsi="ＭＳ ゴシック"/>
                <w:sz w:val="20"/>
                <w:szCs w:val="21"/>
              </w:rPr>
              <w:t>c</w:t>
            </w:r>
            <w:r w:rsidRPr="00385173">
              <w:rPr>
                <w:rFonts w:ascii="ＭＳ ゴシック" w:eastAsia="ＭＳ ゴシック" w:hAnsi="ＭＳ ゴシック" w:hint="eastAsia"/>
                <w:sz w:val="20"/>
                <w:szCs w:val="21"/>
              </w:rPr>
              <w:t>×100）</w:t>
            </w:r>
          </w:p>
        </w:tc>
      </w:tr>
      <w:tr w:rsidR="00CD2891" w:rsidRPr="009D0A9F" w:rsidTr="00385173">
        <w:tc>
          <w:tcPr>
            <w:tcW w:w="1696" w:type="dxa"/>
            <w:vAlign w:val="center"/>
          </w:tcPr>
          <w:p w:rsidR="00CD2891" w:rsidRPr="009D0A9F" w:rsidRDefault="00385173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主たる業種</w:t>
            </w:r>
          </w:p>
        </w:tc>
        <w:tc>
          <w:tcPr>
            <w:tcW w:w="2552" w:type="dxa"/>
            <w:vAlign w:val="center"/>
          </w:tcPr>
          <w:p w:rsidR="00CD2891" w:rsidRPr="009D0A9F" w:rsidRDefault="00CD2891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D2891" w:rsidRPr="009D0A9F" w:rsidRDefault="00CD2891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891" w:rsidRPr="009D0A9F" w:rsidRDefault="00CD2891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385173" w:rsidRPr="009D0A9F" w:rsidTr="00385173">
        <w:tc>
          <w:tcPr>
            <w:tcW w:w="1696" w:type="dxa"/>
            <w:vAlign w:val="center"/>
          </w:tcPr>
          <w:p w:rsidR="00385173" w:rsidRPr="009D0A9F" w:rsidRDefault="00385173" w:rsidP="003851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全体</w:t>
            </w:r>
          </w:p>
        </w:tc>
        <w:tc>
          <w:tcPr>
            <w:tcW w:w="2552" w:type="dxa"/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173" w:rsidRPr="009D0A9F" w:rsidRDefault="00385173" w:rsidP="003851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</w:tbl>
    <w:p w:rsidR="00CD2891" w:rsidRDefault="00CD2891" w:rsidP="00881B5C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※最新の売上原価及び原油等の仕入価格は、直近の決算期の値を用いることも可。</w:t>
      </w:r>
    </w:p>
    <w:p w:rsidR="001E1C30" w:rsidRPr="009D0A9F" w:rsidRDefault="001E1C30" w:rsidP="00881B5C">
      <w:pPr>
        <w:rPr>
          <w:rFonts w:ascii="ＭＳ ゴシック" w:eastAsia="ＭＳ ゴシック" w:hAnsi="ＭＳ ゴシック"/>
          <w:sz w:val="21"/>
          <w:szCs w:val="21"/>
        </w:rPr>
      </w:pPr>
    </w:p>
    <w:p w:rsidR="001E1C30" w:rsidRDefault="00960167" w:rsidP="00960167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（3）</w:t>
      </w:r>
      <w:r w:rsidR="00385173">
        <w:rPr>
          <w:rFonts w:ascii="ＭＳ ゴシック" w:eastAsia="ＭＳ ゴシック" w:hAnsi="ＭＳ ゴシック" w:hint="eastAsia"/>
          <w:sz w:val="21"/>
          <w:szCs w:val="21"/>
        </w:rPr>
        <w:t>主たる業種及び企業全体それぞれの</w:t>
      </w:r>
      <w:r w:rsidRPr="009D0A9F">
        <w:rPr>
          <w:rFonts w:ascii="ＭＳ ゴシック" w:eastAsia="ＭＳ ゴシック" w:hAnsi="ＭＳ ゴシック" w:hint="eastAsia"/>
          <w:sz w:val="21"/>
          <w:szCs w:val="21"/>
        </w:rPr>
        <w:t>製品等価格への転嫁の状況</w:t>
      </w:r>
    </w:p>
    <w:p w:rsidR="001E1C30" w:rsidRPr="009D0A9F" w:rsidRDefault="001E1C30" w:rsidP="0096016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【主たる業種】</w:t>
      </w:r>
    </w:p>
    <w:p w:rsidR="00960167" w:rsidRPr="009D0A9F" w:rsidRDefault="00960167" w:rsidP="00960167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 xml:space="preserve">　A：申込み時点における最近３か月間の仕入価格及び売上高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960167" w:rsidRPr="009D0A9F" w:rsidTr="00BC029C">
        <w:tc>
          <w:tcPr>
            <w:tcW w:w="1413" w:type="dxa"/>
            <w:vAlign w:val="center"/>
          </w:tcPr>
          <w:p w:rsidR="00960167" w:rsidRPr="009D0A9F" w:rsidRDefault="00960167" w:rsidP="0096016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60167" w:rsidRPr="009D0A9F" w:rsidRDefault="00960167" w:rsidP="009601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３か月の合計</w:t>
            </w:r>
          </w:p>
        </w:tc>
      </w:tr>
      <w:tr w:rsidR="00960167" w:rsidRPr="009D0A9F" w:rsidTr="001E1C30">
        <w:trPr>
          <w:trHeight w:val="307"/>
        </w:trPr>
        <w:tc>
          <w:tcPr>
            <w:tcW w:w="1413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pacing w:val="9"/>
                <w:w w:val="62"/>
                <w:kern w:val="0"/>
                <w:sz w:val="21"/>
                <w:szCs w:val="21"/>
                <w:fitText w:val="1100" w:id="-1315152384"/>
              </w:rPr>
              <w:t>原油等の仕入価</w:t>
            </w:r>
            <w:r w:rsidRPr="009D0A9F">
              <w:rPr>
                <w:rFonts w:ascii="ＭＳ ゴシック" w:eastAsia="ＭＳ ゴシック" w:hAnsi="ＭＳ ゴシック" w:hint="eastAsia"/>
                <w:spacing w:val="-31"/>
                <w:w w:val="62"/>
                <w:kern w:val="0"/>
                <w:sz w:val="21"/>
                <w:szCs w:val="21"/>
                <w:fitText w:val="1100" w:id="-1315152384"/>
              </w:rPr>
              <w:t>格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60167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【Ａ】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  <w:tr w:rsidR="00960167" w:rsidRPr="009D0A9F" w:rsidTr="001E1C30">
        <w:trPr>
          <w:trHeight w:val="385"/>
        </w:trPr>
        <w:tc>
          <w:tcPr>
            <w:tcW w:w="1413" w:type="dxa"/>
            <w:vAlign w:val="center"/>
          </w:tcPr>
          <w:p w:rsidR="00960167" w:rsidRPr="009D0A9F" w:rsidRDefault="00960167" w:rsidP="009601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60167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Pr="009D0A9F" w:rsidRDefault="00960167" w:rsidP="00960167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60167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60167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【Ｂ】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</w:tbl>
    <w:p w:rsidR="00960167" w:rsidRPr="009D0A9F" w:rsidRDefault="00960167" w:rsidP="0096016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B：Aの期間に対応する前年の３か月間（前年同月）の仕入価格及び売上高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960167" w:rsidRPr="009D0A9F" w:rsidTr="00BC029C">
        <w:tc>
          <w:tcPr>
            <w:tcW w:w="1413" w:type="dxa"/>
            <w:vAlign w:val="center"/>
          </w:tcPr>
          <w:p w:rsidR="00960167" w:rsidRPr="009D0A9F" w:rsidRDefault="00960167" w:rsidP="00990ED6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60167" w:rsidRPr="009D0A9F" w:rsidRDefault="00960167" w:rsidP="00990ED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３か月の合計</w:t>
            </w:r>
          </w:p>
        </w:tc>
      </w:tr>
      <w:tr w:rsidR="00CE4BA4" w:rsidRPr="009D0A9F" w:rsidTr="001E1C30">
        <w:trPr>
          <w:trHeight w:val="331"/>
        </w:trPr>
        <w:tc>
          <w:tcPr>
            <w:tcW w:w="1413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pacing w:val="9"/>
                <w:w w:val="62"/>
                <w:kern w:val="0"/>
                <w:sz w:val="21"/>
                <w:szCs w:val="21"/>
                <w:fitText w:val="1100" w:id="-1315151616"/>
              </w:rPr>
              <w:t>原油等の仕入価</w:t>
            </w:r>
            <w:r w:rsidRPr="009D0A9F">
              <w:rPr>
                <w:rFonts w:ascii="ＭＳ ゴシック" w:eastAsia="ＭＳ ゴシック" w:hAnsi="ＭＳ ゴシック" w:hint="eastAsia"/>
                <w:spacing w:val="-31"/>
                <w:w w:val="62"/>
                <w:kern w:val="0"/>
                <w:sz w:val="21"/>
                <w:szCs w:val="21"/>
                <w:fitText w:val="1100" w:id="-1315151616"/>
              </w:rPr>
              <w:t>格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90ED6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【a】 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  <w:tr w:rsidR="00960167" w:rsidRPr="009D0A9F" w:rsidTr="001E1C30">
        <w:trPr>
          <w:trHeight w:val="409"/>
        </w:trPr>
        <w:tc>
          <w:tcPr>
            <w:tcW w:w="1413" w:type="dxa"/>
            <w:vAlign w:val="center"/>
          </w:tcPr>
          <w:p w:rsidR="00960167" w:rsidRPr="009D0A9F" w:rsidRDefault="00960167" w:rsidP="00990E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90ED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Pr="009D0A9F" w:rsidRDefault="00960167" w:rsidP="00990ED6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【b】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　　　　　円</w:t>
            </w:r>
          </w:p>
        </w:tc>
      </w:tr>
    </w:tbl>
    <w:p w:rsidR="00960167" w:rsidRDefault="00960167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Pr="009D0A9F" w:rsidRDefault="001E1C30" w:rsidP="001E1C30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lastRenderedPageBreak/>
        <w:t>売上高比較表【５号認定要件　ロ-</w:t>
      </w:r>
      <w:r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Pr="009D0A9F"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ゴシック" w:eastAsia="ＭＳ ゴシック" w:hAnsi="ＭＳ ゴシック" w:hint="eastAsia"/>
          <w:sz w:val="21"/>
          <w:szCs w:val="21"/>
        </w:rPr>
        <w:t>（2/2）</w:t>
      </w:r>
    </w:p>
    <w:p w:rsidR="001E1C30" w:rsidRP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Pr="009D0A9F" w:rsidRDefault="001E1C30" w:rsidP="001E1C3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【全体】</w:t>
      </w:r>
    </w:p>
    <w:p w:rsidR="001E1C30" w:rsidRPr="009D0A9F" w:rsidRDefault="001E1C30" w:rsidP="001E1C30">
      <w:pPr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 xml:space="preserve">　A：申込み時点における最近３か月間の仕入価格及び売上高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1E1C30" w:rsidRPr="009D0A9F" w:rsidTr="0011642A">
        <w:tc>
          <w:tcPr>
            <w:tcW w:w="1413" w:type="dxa"/>
            <w:vAlign w:val="center"/>
          </w:tcPr>
          <w:p w:rsidR="001E1C30" w:rsidRPr="009D0A9F" w:rsidRDefault="001E1C30" w:rsidP="0011642A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1E1C30" w:rsidRPr="009D0A9F" w:rsidRDefault="001E1C30" w:rsidP="0011642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３か月の合計</w:t>
            </w:r>
          </w:p>
        </w:tc>
      </w:tr>
      <w:tr w:rsidR="001E1C30" w:rsidRPr="009D0A9F" w:rsidTr="0011642A">
        <w:trPr>
          <w:trHeight w:val="307"/>
        </w:trPr>
        <w:tc>
          <w:tcPr>
            <w:tcW w:w="1413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C30">
              <w:rPr>
                <w:rFonts w:ascii="ＭＳ ゴシック" w:eastAsia="ＭＳ ゴシック" w:hAnsi="ＭＳ ゴシック" w:hint="eastAsia"/>
                <w:spacing w:val="9"/>
                <w:w w:val="62"/>
                <w:kern w:val="0"/>
                <w:sz w:val="21"/>
                <w:szCs w:val="21"/>
                <w:fitText w:val="1100" w:id="-1314230272"/>
              </w:rPr>
              <w:t>原油等の仕入価</w:t>
            </w:r>
            <w:r w:rsidRPr="001E1C30">
              <w:rPr>
                <w:rFonts w:ascii="ＭＳ ゴシック" w:eastAsia="ＭＳ ゴシック" w:hAnsi="ＭＳ ゴシック" w:hint="eastAsia"/>
                <w:spacing w:val="-31"/>
                <w:w w:val="62"/>
                <w:kern w:val="0"/>
                <w:sz w:val="21"/>
                <w:szCs w:val="21"/>
                <w:fitText w:val="1100" w:id="-1314230272"/>
              </w:rPr>
              <w:t>格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【Ａ】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  <w:tr w:rsidR="001E1C30" w:rsidRPr="009D0A9F" w:rsidTr="0011642A">
        <w:trPr>
          <w:trHeight w:val="385"/>
        </w:trPr>
        <w:tc>
          <w:tcPr>
            <w:tcW w:w="1413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【Ｂ】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</w:tbl>
    <w:p w:rsidR="001E1C30" w:rsidRPr="009D0A9F" w:rsidRDefault="001E1C30" w:rsidP="001E1C30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D0A9F">
        <w:rPr>
          <w:rFonts w:ascii="ＭＳ ゴシック" w:eastAsia="ＭＳ ゴシック" w:hAnsi="ＭＳ ゴシック" w:hint="eastAsia"/>
          <w:sz w:val="21"/>
          <w:szCs w:val="21"/>
        </w:rPr>
        <w:t>B：Aの期間に対応する前年の３か月間（前年同月）の仕入価格及び売上高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1E1C30" w:rsidRPr="009D0A9F" w:rsidTr="0011642A">
        <w:tc>
          <w:tcPr>
            <w:tcW w:w="1413" w:type="dxa"/>
            <w:vAlign w:val="center"/>
          </w:tcPr>
          <w:p w:rsidR="001E1C30" w:rsidRPr="009D0A9F" w:rsidRDefault="001E1C30" w:rsidP="0011642A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1E1C30" w:rsidRPr="009D0A9F" w:rsidRDefault="001E1C30" w:rsidP="0011642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３か月の合計</w:t>
            </w:r>
          </w:p>
        </w:tc>
      </w:tr>
      <w:tr w:rsidR="001E1C30" w:rsidRPr="009D0A9F" w:rsidTr="0011642A">
        <w:trPr>
          <w:trHeight w:val="331"/>
        </w:trPr>
        <w:tc>
          <w:tcPr>
            <w:tcW w:w="1413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1C30">
              <w:rPr>
                <w:rFonts w:ascii="ＭＳ ゴシック" w:eastAsia="ＭＳ ゴシック" w:hAnsi="ＭＳ ゴシック" w:hint="eastAsia"/>
                <w:spacing w:val="9"/>
                <w:w w:val="62"/>
                <w:kern w:val="0"/>
                <w:sz w:val="21"/>
                <w:szCs w:val="21"/>
                <w:fitText w:val="1100" w:id="-1314230271"/>
              </w:rPr>
              <w:t>原油等の仕入価</w:t>
            </w:r>
            <w:r w:rsidRPr="001E1C30">
              <w:rPr>
                <w:rFonts w:ascii="ＭＳ ゴシック" w:eastAsia="ＭＳ ゴシック" w:hAnsi="ＭＳ ゴシック" w:hint="eastAsia"/>
                <w:spacing w:val="-31"/>
                <w:w w:val="62"/>
                <w:kern w:val="0"/>
                <w:sz w:val="21"/>
                <w:szCs w:val="21"/>
                <w:fitText w:val="1100" w:id="-1314230271"/>
              </w:rPr>
              <w:t>格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【a】 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  <w:tr w:rsidR="001E1C30" w:rsidRPr="009D0A9F" w:rsidTr="0011642A">
        <w:trPr>
          <w:trHeight w:val="409"/>
        </w:trPr>
        <w:tc>
          <w:tcPr>
            <w:tcW w:w="1413" w:type="dxa"/>
            <w:vAlign w:val="center"/>
          </w:tcPr>
          <w:p w:rsidR="001E1C30" w:rsidRPr="009D0A9F" w:rsidRDefault="001E1C30" w:rsidP="001164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30" w:rsidRPr="009D0A9F" w:rsidRDefault="001E1C30" w:rsidP="0011642A">
            <w:pPr>
              <w:wordWrap w:val="0"/>
              <w:ind w:leftChars="-115" w:left="-11" w:hangingChars="115" w:hanging="24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0A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【b】</w:t>
            </w:r>
            <w:r w:rsidRPr="009D0A9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　　　　　円</w:t>
            </w:r>
          </w:p>
        </w:tc>
      </w:tr>
    </w:tbl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Default="001E1C30" w:rsidP="00881B5C">
      <w:pPr>
        <w:rPr>
          <w:rFonts w:ascii="ＭＳ ゴシック" w:eastAsia="ＭＳ ゴシック" w:hAnsi="ＭＳ ゴシック"/>
        </w:rPr>
      </w:pPr>
    </w:p>
    <w:p w:rsidR="001E1C30" w:rsidRPr="001E1C30" w:rsidRDefault="001E1C30" w:rsidP="00881B5C">
      <w:pPr>
        <w:rPr>
          <w:rFonts w:ascii="ＭＳ ゴシック" w:eastAsia="ＭＳ ゴシック" w:hAnsi="ＭＳ ゴシック"/>
        </w:rPr>
      </w:pPr>
    </w:p>
    <w:p w:rsid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上記内容について相違ございません。</w:t>
      </w:r>
    </w:p>
    <w:p w:rsid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年　　　　月　　　　　日</w:t>
      </w:r>
    </w:p>
    <w:p w:rsidR="00960167" w:rsidRDefault="00960167" w:rsidP="00960167">
      <w:pPr>
        <w:spacing w:line="240" w:lineRule="exact"/>
        <w:rPr>
          <w:rFonts w:ascii="ＭＳ ゴシック" w:eastAsia="ＭＳ ゴシック" w:hAnsi="ＭＳ ゴシック"/>
        </w:rPr>
      </w:pPr>
    </w:p>
    <w:p w:rsid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申請者住所</w:t>
      </w:r>
    </w:p>
    <w:p w:rsidR="00960167" w:rsidRDefault="00960167" w:rsidP="00881B5C">
      <w:pPr>
        <w:rPr>
          <w:rFonts w:ascii="ＭＳ ゴシック" w:eastAsia="ＭＳ ゴシック" w:hAnsi="ＭＳ ゴシック"/>
        </w:rPr>
      </w:pPr>
    </w:p>
    <w:p w:rsidR="00960167" w:rsidRPr="00960167" w:rsidRDefault="001E1C30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381000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167" w:rsidRDefault="00960167">
                            <w:r>
                              <w:rPr>
                                <w:rFonts w:hint="eastAsia"/>
                              </w:rPr>
                              <w:t>【金融機関</w:t>
                            </w:r>
                            <w:r>
                              <w:t>確認欄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60167" w:rsidRDefault="00960167" w:rsidP="00AE2BBD">
                            <w:pPr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>上記内容について確認</w:t>
                            </w:r>
                            <w:r>
                              <w:t>しました。</w:t>
                            </w:r>
                          </w:p>
                          <w:p w:rsidR="00AE2BBD" w:rsidRDefault="00960167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  <w:p w:rsidR="00960167" w:rsidRDefault="00960167">
                            <w:r>
                              <w:t>・支店名</w:t>
                            </w:r>
                          </w:p>
                          <w:p w:rsidR="00960167" w:rsidRPr="00960167" w:rsidRDefault="009601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支店長名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3.75pt;width:300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" fillcolor="white [3201]" strokeweight=".5pt">
                <v:textbox>
                  <w:txbxContent>
                    <w:p w:rsidR="00960167" w:rsidRDefault="00960167">
                      <w:r>
                        <w:rPr>
                          <w:rFonts w:hint="eastAsia"/>
                        </w:rPr>
                        <w:t>【金融機関</w:t>
                      </w:r>
                      <w:r>
                        <w:t>確認欄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960167" w:rsidRDefault="00960167" w:rsidP="00AE2BBD">
                      <w:pPr>
                        <w:spacing w:afterLines="50" w:after="180"/>
                      </w:pPr>
                      <w:r>
                        <w:rPr>
                          <w:rFonts w:hint="eastAsia"/>
                        </w:rPr>
                        <w:t>上記内容について確認</w:t>
                      </w:r>
                      <w:r>
                        <w:t>しました。</w:t>
                      </w:r>
                    </w:p>
                    <w:p w:rsidR="00AE2BBD" w:rsidRDefault="00960167">
                      <w:r>
                        <w:rPr>
                          <w:rFonts w:hint="eastAsia"/>
                        </w:rPr>
                        <w:t>金融機関名</w:t>
                      </w:r>
                    </w:p>
                    <w:p w:rsidR="00960167" w:rsidRDefault="00960167">
                      <w:r>
                        <w:t>・支店名</w:t>
                      </w:r>
                    </w:p>
                    <w:p w:rsidR="00960167" w:rsidRPr="00960167" w:rsidRDefault="009601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支店長名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167">
        <w:rPr>
          <w:rFonts w:ascii="ＭＳ ゴシック" w:eastAsia="ＭＳ ゴシック" w:hAnsi="ＭＳ ゴシック" w:hint="eastAsia"/>
        </w:rPr>
        <w:t>氏名</w:t>
      </w:r>
      <w:bookmarkStart w:id="0" w:name="_GoBack"/>
      <w:bookmarkEnd w:id="0"/>
    </w:p>
    <w:sectPr w:rsidR="00960167" w:rsidRPr="00960167" w:rsidSect="00960167">
      <w:pgSz w:w="11906" w:h="16838" w:code="9"/>
      <w:pgMar w:top="851" w:right="1134" w:bottom="284" w:left="1134" w:header="510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C"/>
    <w:rsid w:val="001E1C30"/>
    <w:rsid w:val="00385173"/>
    <w:rsid w:val="00497EC1"/>
    <w:rsid w:val="00526F72"/>
    <w:rsid w:val="00881B5C"/>
    <w:rsid w:val="00960167"/>
    <w:rsid w:val="009D0A9F"/>
    <w:rsid w:val="00AE2BBD"/>
    <w:rsid w:val="00BC029C"/>
    <w:rsid w:val="00CD2891"/>
    <w:rsid w:val="00CE4BA4"/>
    <w:rsid w:val="00E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DA77C"/>
  <w15:chartTrackingRefBased/>
  <w15:docId w15:val="{C15EC667-F602-4267-ACCA-33FFFC4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JN61012</cp:lastModifiedBy>
  <cp:revision>8</cp:revision>
  <cp:lastPrinted>2023-01-19T08:42:00Z</cp:lastPrinted>
  <dcterms:created xsi:type="dcterms:W3CDTF">2023-01-19T07:43:00Z</dcterms:created>
  <dcterms:modified xsi:type="dcterms:W3CDTF">2023-03-22T02:20:00Z</dcterms:modified>
</cp:coreProperties>
</file>